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DC70" w14:textId="605C29B4" w:rsidR="008448B2" w:rsidRDefault="005A730E" w:rsidP="008448B2">
      <w:pPr>
        <w:rPr>
          <w:noProof/>
          <w:lang w:val="en-US"/>
        </w:rPr>
      </w:pPr>
      <w:r w:rsidRPr="005A730E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AB8BF93" wp14:editId="3595CD37">
            <wp:simplePos x="0" y="0"/>
            <wp:positionH relativeFrom="page">
              <wp:align>center</wp:align>
            </wp:positionH>
            <wp:positionV relativeFrom="paragraph">
              <wp:posOffset>-37074</wp:posOffset>
            </wp:positionV>
            <wp:extent cx="6763098" cy="1511378"/>
            <wp:effectExtent l="0" t="0" r="0" b="0"/>
            <wp:wrapNone/>
            <wp:docPr id="666992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9294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3098" cy="151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A2277D" w14:textId="77777777" w:rsidR="005A730E" w:rsidRDefault="005A730E" w:rsidP="008448B2">
      <w:pPr>
        <w:rPr>
          <w:noProof/>
          <w:lang w:val="en-US"/>
        </w:rPr>
      </w:pPr>
    </w:p>
    <w:p w14:paraId="68215C36" w14:textId="77777777" w:rsidR="005A730E" w:rsidRDefault="005A730E" w:rsidP="008448B2">
      <w:pPr>
        <w:rPr>
          <w:noProof/>
          <w:lang w:val="en-US"/>
        </w:rPr>
      </w:pPr>
    </w:p>
    <w:p w14:paraId="150A5E44" w14:textId="77777777" w:rsidR="005A730E" w:rsidRDefault="005A730E" w:rsidP="008448B2">
      <w:pPr>
        <w:rPr>
          <w:noProof/>
          <w:lang w:val="en-US"/>
        </w:rPr>
      </w:pPr>
    </w:p>
    <w:p w14:paraId="263C5E98" w14:textId="77777777" w:rsidR="005A730E" w:rsidRDefault="005A730E" w:rsidP="008448B2"/>
    <w:p w14:paraId="5FB67B45" w14:textId="1955E016" w:rsidR="008448B2" w:rsidRPr="005B6C4A" w:rsidRDefault="008448B2" w:rsidP="008448B2">
      <w:pPr>
        <w:pStyle w:val="PlainText"/>
        <w:jc w:val="center"/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</w:pPr>
      <w:r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 xml:space="preserve">IB </w:t>
      </w:r>
      <w:r w:rsidRPr="005B6C4A"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Math 1</w:t>
      </w:r>
      <w:r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2</w:t>
      </w:r>
      <w:r w:rsidRPr="005B6C4A"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 xml:space="preserve"> </w:t>
      </w:r>
      <w:r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S</w:t>
      </w:r>
      <w:r w:rsidRPr="005B6C4A"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L</w:t>
      </w:r>
      <w:r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:  Analysis and Approaches</w:t>
      </w:r>
    </w:p>
    <w:p w14:paraId="76A3E3F3" w14:textId="77777777" w:rsidR="008448B2" w:rsidRPr="00BB25C0" w:rsidRDefault="008448B2" w:rsidP="008448B2">
      <w:pPr>
        <w:pStyle w:val="PlainText"/>
        <w:jc w:val="center"/>
        <w:rPr>
          <w:sz w:val="28"/>
          <w:szCs w:val="28"/>
          <w:u w:val="single"/>
        </w:rPr>
      </w:pPr>
      <w:r w:rsidRPr="005B6C4A">
        <w:rPr>
          <w:rFonts w:ascii="Arial" w:eastAsiaTheme="minorEastAsia" w:hAnsi="Arial" w:cs="Arial"/>
          <w:color w:val="000000"/>
          <w:sz w:val="28"/>
          <w:szCs w:val="28"/>
          <w:lang w:val="en-CA" w:eastAsia="ko-KR"/>
        </w:rPr>
        <w:t>Course Outline</w:t>
      </w:r>
    </w:p>
    <w:p w14:paraId="086CD1F9" w14:textId="77777777" w:rsidR="008448B2" w:rsidRDefault="008448B2" w:rsidP="008448B2">
      <w:pPr>
        <w:spacing w:after="0" w:line="240" w:lineRule="auto"/>
        <w:rPr>
          <w:sz w:val="28"/>
          <w:szCs w:val="28"/>
        </w:rPr>
      </w:pPr>
    </w:p>
    <w:p w14:paraId="51BFF820" w14:textId="7FE64015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 w:rsidRPr="005B6C4A"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>Teacher</w:t>
      </w:r>
      <w:r w:rsidRPr="005B6C4A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:</w:t>
      </w:r>
      <w:r w:rsidRPr="005B6C4A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ab/>
      </w:r>
      <w:r w:rsidR="005A730E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Mr. Olinyk</w:t>
      </w:r>
    </w:p>
    <w:p w14:paraId="4C9EC615" w14:textId="139B51A8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 w:rsidRPr="00184026"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>Email</w:t>
      </w: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:</w:t>
      </w: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ab/>
      </w: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ab/>
      </w:r>
      <w:hyperlink r:id="rId6" w:history="1">
        <w:r w:rsidR="005A730E" w:rsidRPr="005A730E">
          <w:rPr>
            <w:rStyle w:val="Hyperlink"/>
            <w:rFonts w:ascii="Arial" w:hAnsi="Arial" w:cs="Arial"/>
          </w:rPr>
          <w:t>tolinyk@sd43.bc.ca</w:t>
        </w:r>
      </w:hyperlink>
      <w:r w:rsidR="005A730E" w:rsidRPr="005A730E">
        <w:rPr>
          <w:rFonts w:ascii="Arial" w:hAnsi="Arial" w:cs="Arial"/>
        </w:rPr>
        <w:t xml:space="preserve"> </w:t>
      </w:r>
    </w:p>
    <w:p w14:paraId="0221E109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68C2BBBB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11A8EE3F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 w:rsidRPr="005103A7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This course recognizes the need for analytical expertise in a world where innovation is increasingly dependent on a deep understanding of mathematics. This course includes topics that are both traditionally part of a pre-university mathematics course (for example, functions, trigonometry, calculus) as well as topics that are amenable to investigation, conjecture and proof</w:t>
      </w: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 xml:space="preserve">.  </w:t>
      </w:r>
      <w:r w:rsidRPr="005103A7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 xml:space="preserve">The course allows the use of technology, as fluency in relevant mathematical software and hand-held technology is important regardless of choice of course. However, Mathematics: analysis and approaches </w:t>
      </w:r>
      <w:proofErr w:type="gramStart"/>
      <w:r w:rsidRPr="005103A7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has</w:t>
      </w:r>
      <w:proofErr w:type="gramEnd"/>
      <w:r w:rsidRPr="005103A7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 xml:space="preserve"> a strong emphasis on the ability to construct, communicate and justify correct mathematical arguments.</w:t>
      </w:r>
    </w:p>
    <w:p w14:paraId="18C8B44A" w14:textId="77777777" w:rsidR="008448B2" w:rsidRDefault="008448B2" w:rsidP="008448B2">
      <w:pPr>
        <w:pStyle w:val="Default"/>
        <w:rPr>
          <w:sz w:val="19"/>
          <w:szCs w:val="19"/>
        </w:rPr>
      </w:pPr>
    </w:p>
    <w:p w14:paraId="66B946B5" w14:textId="77777777" w:rsidR="008448B2" w:rsidRDefault="008448B2" w:rsidP="008448B2">
      <w:pPr>
        <w:pStyle w:val="Default"/>
        <w:rPr>
          <w:sz w:val="19"/>
          <w:szCs w:val="19"/>
        </w:rPr>
      </w:pPr>
      <w:r>
        <w:rPr>
          <w:sz w:val="19"/>
          <w:szCs w:val="19"/>
        </w:rPr>
        <w:t xml:space="preserve">Problem-solving is central to learning mathematics and involves the acquisition of mathematical skills and concepts in a wide range of situations, including non-routine, open-ended and real-world problems. Having followed a DP Mathematics course, students will be expected to demonstrate the following. </w:t>
      </w:r>
    </w:p>
    <w:p w14:paraId="6CDA870F" w14:textId="77777777" w:rsidR="008448B2" w:rsidRDefault="008448B2" w:rsidP="008448B2">
      <w:pPr>
        <w:pStyle w:val="Default"/>
        <w:rPr>
          <w:sz w:val="19"/>
          <w:szCs w:val="19"/>
        </w:rPr>
      </w:pPr>
    </w:p>
    <w:p w14:paraId="167C4D94" w14:textId="77777777" w:rsidR="008448B2" w:rsidRDefault="008448B2" w:rsidP="008448B2">
      <w:pPr>
        <w:pStyle w:val="Default"/>
        <w:spacing w:after="248"/>
        <w:rPr>
          <w:sz w:val="19"/>
          <w:szCs w:val="19"/>
        </w:rPr>
      </w:pPr>
      <w:r>
        <w:rPr>
          <w:sz w:val="19"/>
          <w:szCs w:val="19"/>
        </w:rPr>
        <w:t xml:space="preserve">1. </w:t>
      </w:r>
      <w:r>
        <w:rPr>
          <w:b/>
          <w:bCs/>
          <w:sz w:val="19"/>
          <w:szCs w:val="19"/>
        </w:rPr>
        <w:t>Knowledge and understanding</w:t>
      </w:r>
      <w:r>
        <w:rPr>
          <w:sz w:val="19"/>
          <w:szCs w:val="19"/>
        </w:rPr>
        <w:t xml:space="preserve">: recall, select and use their knowledge of mathematical facts, concepts and techniques in a variety of familiar and unfamiliar contexts. </w:t>
      </w:r>
    </w:p>
    <w:p w14:paraId="39B8D572" w14:textId="77777777" w:rsidR="008448B2" w:rsidRDefault="008448B2" w:rsidP="008448B2">
      <w:pPr>
        <w:pStyle w:val="Default"/>
        <w:spacing w:after="248"/>
        <w:rPr>
          <w:sz w:val="19"/>
          <w:szCs w:val="19"/>
        </w:rPr>
      </w:pPr>
      <w:r>
        <w:rPr>
          <w:sz w:val="19"/>
          <w:szCs w:val="19"/>
        </w:rPr>
        <w:t xml:space="preserve">2. </w:t>
      </w:r>
      <w:r>
        <w:rPr>
          <w:b/>
          <w:bCs/>
          <w:sz w:val="19"/>
          <w:szCs w:val="19"/>
        </w:rPr>
        <w:t>Problem-solving</w:t>
      </w:r>
      <w:r>
        <w:rPr>
          <w:sz w:val="19"/>
          <w:szCs w:val="19"/>
        </w:rPr>
        <w:t xml:space="preserve">: recall, select and use their knowledge of mathematical skills, results and models in both real and abstract contexts to solve problems. </w:t>
      </w:r>
    </w:p>
    <w:p w14:paraId="02E1567A" w14:textId="77777777" w:rsidR="008448B2" w:rsidRDefault="008448B2" w:rsidP="008448B2">
      <w:pPr>
        <w:pStyle w:val="Default"/>
        <w:spacing w:after="248"/>
        <w:rPr>
          <w:sz w:val="19"/>
          <w:szCs w:val="19"/>
        </w:rPr>
      </w:pPr>
      <w:r>
        <w:rPr>
          <w:sz w:val="19"/>
          <w:szCs w:val="19"/>
        </w:rPr>
        <w:t xml:space="preserve">3. </w:t>
      </w:r>
      <w:r>
        <w:rPr>
          <w:b/>
          <w:bCs/>
          <w:sz w:val="19"/>
          <w:szCs w:val="19"/>
        </w:rPr>
        <w:t>Communication and interpretation</w:t>
      </w:r>
      <w:r>
        <w:rPr>
          <w:sz w:val="19"/>
          <w:szCs w:val="19"/>
        </w:rPr>
        <w:t>: transform common realistic contexts into mathematics; comment on the context; sketch or draw mathematical diagrams, graphs or constructions both on paper and using technology; record methods, solutions and conclusions using standardized notation, use appropriate notation and terminology.</w:t>
      </w:r>
    </w:p>
    <w:p w14:paraId="19BF348E" w14:textId="77777777" w:rsidR="008448B2" w:rsidRDefault="008448B2" w:rsidP="008448B2">
      <w:pPr>
        <w:pStyle w:val="Default"/>
        <w:spacing w:after="248"/>
        <w:rPr>
          <w:sz w:val="19"/>
          <w:szCs w:val="19"/>
        </w:rPr>
      </w:pPr>
      <w:r>
        <w:rPr>
          <w:sz w:val="19"/>
          <w:szCs w:val="19"/>
        </w:rPr>
        <w:t xml:space="preserve">4. </w:t>
      </w:r>
      <w:r>
        <w:rPr>
          <w:b/>
          <w:bCs/>
          <w:sz w:val="19"/>
          <w:szCs w:val="19"/>
        </w:rPr>
        <w:t>Technology</w:t>
      </w:r>
      <w:r>
        <w:rPr>
          <w:sz w:val="19"/>
          <w:szCs w:val="19"/>
        </w:rPr>
        <w:t xml:space="preserve">: use technology, accurately, appropriately and efficiently both to explore new ideas and to solve problems. </w:t>
      </w:r>
    </w:p>
    <w:p w14:paraId="574FE1D6" w14:textId="77777777" w:rsidR="008448B2" w:rsidRDefault="008448B2" w:rsidP="008448B2">
      <w:pPr>
        <w:pStyle w:val="Default"/>
        <w:spacing w:after="248"/>
        <w:rPr>
          <w:sz w:val="19"/>
          <w:szCs w:val="19"/>
        </w:rPr>
      </w:pPr>
      <w:r>
        <w:rPr>
          <w:sz w:val="19"/>
          <w:szCs w:val="19"/>
        </w:rPr>
        <w:t xml:space="preserve">5. </w:t>
      </w:r>
      <w:r>
        <w:rPr>
          <w:b/>
          <w:bCs/>
          <w:sz w:val="19"/>
          <w:szCs w:val="19"/>
        </w:rPr>
        <w:t>Reasoning</w:t>
      </w:r>
      <w:r>
        <w:rPr>
          <w:sz w:val="19"/>
          <w:szCs w:val="19"/>
        </w:rPr>
        <w:t xml:space="preserve">: construct mathematical arguments through use of precise statements, logical deduction and inference, and by the manipulation of mathematical expressions. </w:t>
      </w:r>
    </w:p>
    <w:p w14:paraId="2E97ACB4" w14:textId="77777777" w:rsidR="008448B2" w:rsidRDefault="008448B2" w:rsidP="008448B2">
      <w:pPr>
        <w:pStyle w:val="Default"/>
        <w:rPr>
          <w:sz w:val="19"/>
          <w:szCs w:val="19"/>
        </w:rPr>
      </w:pPr>
      <w:r>
        <w:rPr>
          <w:sz w:val="19"/>
          <w:szCs w:val="19"/>
        </w:rPr>
        <w:t xml:space="preserve">6. </w:t>
      </w:r>
      <w:r>
        <w:rPr>
          <w:b/>
          <w:bCs/>
          <w:sz w:val="19"/>
          <w:szCs w:val="19"/>
        </w:rPr>
        <w:t>Inquiry approaches</w:t>
      </w:r>
      <w:r>
        <w:rPr>
          <w:sz w:val="19"/>
          <w:szCs w:val="19"/>
        </w:rPr>
        <w:t xml:space="preserve">: investigate unfamiliar situations, both abstract and real-world, involving organizing and analyzing information, making conjectures, drawing conclusions, and testing their validity. </w:t>
      </w:r>
    </w:p>
    <w:p w14:paraId="0BC946B1" w14:textId="77777777" w:rsidR="008448B2" w:rsidRPr="00DC4278" w:rsidRDefault="008448B2" w:rsidP="008448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1A1D">
        <w:rPr>
          <w:rFonts w:ascii="Times New Roman" w:eastAsia="Times New Roman" w:hAnsi="Times New Roman" w:cs="Times New Roman"/>
          <w:b/>
          <w:bCs/>
          <w:sz w:val="27"/>
          <w:szCs w:val="27"/>
        </w:rPr>
        <w:t>Group 5 aims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:  </w:t>
      </w:r>
      <w:r w:rsidRPr="00E41A1D">
        <w:rPr>
          <w:rFonts w:ascii="Arial" w:hAnsi="Arial" w:cs="Arial"/>
          <w:color w:val="000000"/>
          <w:sz w:val="19"/>
          <w:szCs w:val="19"/>
        </w:rPr>
        <w:t>The aims of all mathematics courses in group 5 are to enable students to:</w:t>
      </w:r>
    </w:p>
    <w:p w14:paraId="43A9AAD9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Develop a curiosity and enjoyment of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mathematics, and appreciat</w:t>
      </w:r>
      <w:r>
        <w:rPr>
          <w:rFonts w:ascii="Arial" w:hAnsi="Arial" w:cs="Arial"/>
          <w:color w:val="000000"/>
          <w:sz w:val="19"/>
          <w:szCs w:val="19"/>
        </w:rPr>
        <w:t>e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 xml:space="preserve">its </w:t>
      </w:r>
      <w:r w:rsidRPr="00E41A1D">
        <w:rPr>
          <w:rFonts w:ascii="Arial" w:hAnsi="Arial" w:cs="Arial"/>
          <w:color w:val="000000"/>
          <w:sz w:val="19"/>
          <w:szCs w:val="19"/>
        </w:rPr>
        <w:t>elegance and power</w:t>
      </w:r>
    </w:p>
    <w:p w14:paraId="5F0C29A9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E41A1D">
        <w:rPr>
          <w:rFonts w:ascii="Arial" w:hAnsi="Arial" w:cs="Arial"/>
          <w:color w:val="000000"/>
          <w:sz w:val="19"/>
          <w:szCs w:val="19"/>
        </w:rPr>
        <w:t>develop an understanding of the</w:t>
      </w:r>
      <w:r>
        <w:rPr>
          <w:rFonts w:ascii="Arial" w:hAnsi="Arial" w:cs="Arial"/>
          <w:color w:val="000000"/>
          <w:sz w:val="19"/>
          <w:szCs w:val="19"/>
        </w:rPr>
        <w:t xml:space="preserve"> concepts,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principles and nature of mathematics</w:t>
      </w:r>
    </w:p>
    <w:p w14:paraId="70A728A2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E41A1D">
        <w:rPr>
          <w:rFonts w:ascii="Arial" w:hAnsi="Arial" w:cs="Arial"/>
          <w:color w:val="000000"/>
          <w:sz w:val="19"/>
          <w:szCs w:val="19"/>
        </w:rPr>
        <w:t>communicate clearly</w:t>
      </w:r>
      <w:r>
        <w:rPr>
          <w:rFonts w:ascii="Arial" w:hAnsi="Arial" w:cs="Arial"/>
          <w:color w:val="000000"/>
          <w:sz w:val="19"/>
          <w:szCs w:val="19"/>
        </w:rPr>
        <w:t>, concisely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and confidently in a variety of contexts</w:t>
      </w:r>
    </w:p>
    <w:p w14:paraId="57CED2CD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E41A1D">
        <w:rPr>
          <w:rFonts w:ascii="Arial" w:hAnsi="Arial" w:cs="Arial"/>
          <w:color w:val="000000"/>
          <w:sz w:val="19"/>
          <w:szCs w:val="19"/>
        </w:rPr>
        <w:t>develop logical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E41A1D">
        <w:rPr>
          <w:rFonts w:ascii="Arial" w:hAnsi="Arial" w:cs="Arial"/>
          <w:color w:val="000000"/>
          <w:sz w:val="19"/>
          <w:szCs w:val="19"/>
        </w:rPr>
        <w:t>and creative thinking, and patience and persistence in problem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E41A1D">
        <w:rPr>
          <w:rFonts w:ascii="Arial" w:hAnsi="Arial" w:cs="Arial"/>
          <w:color w:val="000000"/>
          <w:sz w:val="19"/>
          <w:szCs w:val="19"/>
        </w:rPr>
        <w:t>solving</w:t>
      </w:r>
      <w:r>
        <w:rPr>
          <w:rFonts w:ascii="Arial" w:hAnsi="Arial" w:cs="Arial"/>
          <w:color w:val="000000"/>
          <w:sz w:val="19"/>
          <w:szCs w:val="19"/>
        </w:rPr>
        <w:t xml:space="preserve"> to instil confidence in using mathematics</w:t>
      </w:r>
    </w:p>
    <w:p w14:paraId="3479D75E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E41A1D">
        <w:rPr>
          <w:rFonts w:ascii="Arial" w:hAnsi="Arial" w:cs="Arial"/>
          <w:color w:val="000000"/>
          <w:sz w:val="19"/>
          <w:szCs w:val="19"/>
        </w:rPr>
        <w:t>employ and refine their powers of abstraction and generalization</w:t>
      </w:r>
    </w:p>
    <w:p w14:paraId="41480345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>take action to apply and transfer skills to alternative situations, to other areas of knowledge and to future developments in their local and global communities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appreciate how developments in technology and mathematics have influenced each other</w:t>
      </w:r>
    </w:p>
    <w:p w14:paraId="02B24AE8" w14:textId="77777777" w:rsidR="008448B2" w:rsidRPr="00E41A1D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>appreciate how developments in technology and mathematics influence each other</w:t>
      </w:r>
      <w:r w:rsidRPr="00E41A1D">
        <w:rPr>
          <w:rFonts w:ascii="Arial" w:hAnsi="Arial" w:cs="Arial"/>
          <w:color w:val="000000"/>
          <w:sz w:val="19"/>
          <w:szCs w:val="19"/>
        </w:rPr>
        <w:t xml:space="preserve"> appreciate the international dimension in mathematics through an awareness of the universality of mathematics and its multicultural and historical perspectives </w:t>
      </w:r>
    </w:p>
    <w:p w14:paraId="0CF05BC9" w14:textId="77777777" w:rsidR="008448B2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 xml:space="preserve">appreciate the moral, social and ethical questions arising from the work of mathematicians and the applications of mathematics </w:t>
      </w:r>
    </w:p>
    <w:p w14:paraId="7BFDD5A8" w14:textId="77777777" w:rsidR="008448B2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lastRenderedPageBreak/>
        <w:t>appreciate the universality of mathematics and its multicultural, international and historical perspectives</w:t>
      </w:r>
    </w:p>
    <w:p w14:paraId="53FA823C" w14:textId="77777777" w:rsidR="008448B2" w:rsidRPr="00DC4278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 xml:space="preserve">appreciate the contribution of mathematics to other disciplines, and as a particular “area of knowledge” in the TOK course </w:t>
      </w:r>
    </w:p>
    <w:p w14:paraId="4C631E39" w14:textId="77777777" w:rsidR="008448B2" w:rsidRPr="00DC4278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>develop the ability to reflect critically upon their own work and the work of others</w:t>
      </w:r>
    </w:p>
    <w:p w14:paraId="118B562A" w14:textId="77777777" w:rsidR="008448B2" w:rsidRPr="00BD589E" w:rsidRDefault="008448B2" w:rsidP="0084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19"/>
          <w:szCs w:val="19"/>
        </w:rPr>
      </w:pPr>
      <w:r w:rsidRPr="00DC4278">
        <w:rPr>
          <w:rFonts w:ascii="Arial" w:hAnsi="Arial" w:cs="Arial"/>
          <w:color w:val="000000"/>
          <w:sz w:val="19"/>
          <w:szCs w:val="19"/>
        </w:rPr>
        <w:t>independently and collaboratively extend their understanding of mathematics</w:t>
      </w:r>
    </w:p>
    <w:p w14:paraId="29753A7D" w14:textId="77777777" w:rsidR="008448B2" w:rsidRDefault="008448B2" w:rsidP="008448B2">
      <w:pPr>
        <w:pStyle w:val="Pa2"/>
        <w:rPr>
          <w:rFonts w:cs="Myriad Pro"/>
          <w:color w:val="000000"/>
          <w:sz w:val="38"/>
          <w:szCs w:val="38"/>
        </w:rPr>
      </w:pPr>
      <w:r>
        <w:rPr>
          <w:rFonts w:cs="Myriad Pro"/>
          <w:color w:val="000000"/>
          <w:sz w:val="38"/>
          <w:szCs w:val="38"/>
        </w:rPr>
        <w:t xml:space="preserve">Group 5 (mathematics) grade descriptors </w:t>
      </w:r>
    </w:p>
    <w:p w14:paraId="11518DDA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7 </w:t>
      </w:r>
    </w:p>
    <w:p w14:paraId="00BB9FC4" w14:textId="77777777" w:rsidR="008448B2" w:rsidRPr="005F0CBE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a thorough knowledge and comprehensive understanding of the syllabus; successfully constructs and applies mathematical arguments at a sophisticated level in a wide variety of contexts; successfully uses problem-solving techniques in challenging situations; recognizes patterns and structures, makes generalizations and justifies conclusions; understands and explains the significance and validity of results, and draws full and relevant conclusions; communicates mathematics in a clear, effective and concise manner, using correct techniques, notation and terminology; demonstrates the ability to integrate knowledge, understanding and skills from different areas of the course; uses technology correctly in challenging situations—makes efficient use of calculator’s functionality when required. </w:t>
      </w:r>
    </w:p>
    <w:p w14:paraId="38ECE531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6 </w:t>
      </w:r>
    </w:p>
    <w:p w14:paraId="73214B1C" w14:textId="77777777" w:rsidR="008448B2" w:rsidRPr="005F0CBE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a broad knowledge and comprehensive understanding of the syllabus; successfully constructs and applies mathematical arguments in a variety of contexts; uses problem-solving techniques in challenging situations; recognizes patterns and structures, and makes some generalizations; understands and explains the significance and validity of results, and draws relevant conclusions; communicates mathematics in a clear and effective manner, using correct techniques, notation and terminology; demonstrates some ability to integrate knowledge, understanding and skills from different areas of the course; uses technology correctly in routine situations—makes efficient use of calculator’s functionality when required. </w:t>
      </w:r>
    </w:p>
    <w:p w14:paraId="5F4B7352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5 </w:t>
      </w:r>
    </w:p>
    <w:p w14:paraId="6C93FE42" w14:textId="77777777" w:rsidR="008448B2" w:rsidRPr="005F0CBE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a broad knowledge and good understanding of the syllabus; applies mathematical arguments in performing routine tasks; successfully uses problem-solving techniques in routine situations; successfully carries out mathematical processes in a variety of contexts, and recognizes patterns and structures; understands the significance of results and draws some conclusions; communicates mathematics effectively, using appropriate techniques, notation and terminology; demonstrates an awareness of the links between different areas of the course; makes use of calculator’s functionality when required—may occasionally be inefficient. </w:t>
      </w:r>
    </w:p>
    <w:p w14:paraId="048E1248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4 </w:t>
      </w:r>
    </w:p>
    <w:p w14:paraId="596001A3" w14:textId="77777777" w:rsidR="008448B2" w:rsidRPr="009B633A" w:rsidRDefault="008448B2" w:rsidP="008448B2">
      <w:pPr>
        <w:pStyle w:val="Pa8"/>
        <w:spacing w:after="160"/>
        <w:jc w:val="both"/>
        <w:rPr>
          <w:rFonts w:cs="Myriad Pro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a satisfactory knowledge of the syllabus; applies mathematical arguments in performing some routine tasks; uses problem-solving techniques in routine situations; successfully carries out mathematical processes in straightforward contexts; shows some ability to recognize patterns and structures; has limited understanding of the significance of results and attempts to draw some conclusions; communicates mathematics adequately, using some appropriate techniques, notation and terminology; makes some use of calculator’s functionality, but perhaps not always when required—may be inefficient at times. </w:t>
      </w:r>
    </w:p>
    <w:p w14:paraId="532BADDE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3 </w:t>
      </w:r>
    </w:p>
    <w:p w14:paraId="4DBA0DD1" w14:textId="77777777" w:rsidR="008448B2" w:rsidRPr="005F0CBE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partial knowledge of the syllabus and limited understanding of mathematical arguments in performing some routine tasks; attempts to carry out mathematical processes in straightforward contexts; makes an attempt to use problem-solving techniques in routine situations; communicates some mathematics, using some appropriate techniques, notation or terminology; occasionally uses calculator’s functionality, but often inefficiently; does not always use it when required and may use an inefficient analytic approach. </w:t>
      </w:r>
    </w:p>
    <w:p w14:paraId="75B0E18A" w14:textId="77777777" w:rsidR="008448B2" w:rsidRDefault="008448B2" w:rsidP="008448B2">
      <w:pPr>
        <w:pStyle w:val="Pa8"/>
        <w:spacing w:after="160"/>
        <w:jc w:val="both"/>
        <w:rPr>
          <w:rFonts w:cs="Myriad Pro"/>
          <w:color w:val="000000"/>
          <w:sz w:val="28"/>
          <w:szCs w:val="28"/>
        </w:rPr>
      </w:pPr>
      <w:r>
        <w:rPr>
          <w:rStyle w:val="A6"/>
        </w:rPr>
        <w:t xml:space="preserve">Grade 2 </w:t>
      </w:r>
    </w:p>
    <w:p w14:paraId="1DC96A70" w14:textId="77777777" w:rsidR="008448B2" w:rsidRPr="005F0CBE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 xml:space="preserve">Demonstrates limited knowledge of the syllabus; attempts to carry out mathematical processes at a basic level; communicates some mathematics, but often uses inappropriate techniques, notation or terminology; unable to use calculator correctly when </w:t>
      </w:r>
      <w:proofErr w:type="gramStart"/>
      <w:r w:rsidRPr="005F0CBE">
        <w:rPr>
          <w:rFonts w:ascii="Arial" w:hAnsi="Arial" w:cs="Arial"/>
          <w:color w:val="000000"/>
          <w:sz w:val="19"/>
          <w:szCs w:val="19"/>
        </w:rPr>
        <w:t>required—questions</w:t>
      </w:r>
      <w:proofErr w:type="gramEnd"/>
      <w:r w:rsidRPr="005F0CBE">
        <w:rPr>
          <w:rFonts w:ascii="Arial" w:hAnsi="Arial" w:cs="Arial"/>
          <w:color w:val="000000"/>
          <w:sz w:val="19"/>
          <w:szCs w:val="19"/>
        </w:rPr>
        <w:t xml:space="preserve"> exclusively requiring the use of the GDC are generally not attempted. </w:t>
      </w:r>
    </w:p>
    <w:p w14:paraId="5305158A" w14:textId="77777777" w:rsidR="008448B2" w:rsidRDefault="008448B2" w:rsidP="008448B2">
      <w:pPr>
        <w:pStyle w:val="Pa9"/>
        <w:spacing w:before="160" w:after="4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 xml:space="preserve">Grade 1 </w:t>
      </w:r>
    </w:p>
    <w:p w14:paraId="05183A95" w14:textId="77777777" w:rsidR="008448B2" w:rsidRDefault="008448B2" w:rsidP="008448B2">
      <w:pPr>
        <w:pStyle w:val="Pa8"/>
        <w:spacing w:after="160"/>
        <w:jc w:val="both"/>
        <w:rPr>
          <w:rFonts w:ascii="Arial" w:hAnsi="Arial" w:cs="Arial"/>
          <w:color w:val="000000"/>
          <w:sz w:val="19"/>
          <w:szCs w:val="19"/>
        </w:rPr>
      </w:pPr>
      <w:r w:rsidRPr="005F0CBE">
        <w:rPr>
          <w:rFonts w:ascii="Arial" w:hAnsi="Arial" w:cs="Arial"/>
          <w:color w:val="000000"/>
          <w:sz w:val="19"/>
          <w:szCs w:val="19"/>
        </w:rPr>
        <w:t>Demonstrates minimal knowledge of the syllabus; demonstrates little or no ability to use mathematical processes, even when attempting routine tasks; communicates only minimal mathematics and consistently uses inappropriate techniques, notation or terminology; is unable to make effective use of technology.</w:t>
      </w:r>
    </w:p>
    <w:p w14:paraId="0D8C2BBE" w14:textId="31F7314C" w:rsidR="008448B2" w:rsidRDefault="008448B2" w:rsidP="008448B2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br/>
      </w:r>
      <w:r w:rsidR="005A730E">
        <w:rPr>
          <w:rFonts w:ascii="Arial" w:hAnsi="Arial" w:cs="Arial"/>
          <w:b/>
          <w:color w:val="000000"/>
          <w:sz w:val="24"/>
          <w:szCs w:val="24"/>
        </w:rPr>
        <w:br/>
      </w:r>
      <w:r w:rsidR="005A730E"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lastRenderedPageBreak/>
        <w:br/>
      </w:r>
      <w:r w:rsidRPr="003E07FD">
        <w:rPr>
          <w:rFonts w:ascii="Arial" w:hAnsi="Arial" w:cs="Arial"/>
          <w:b/>
          <w:color w:val="000000"/>
          <w:sz w:val="24"/>
          <w:szCs w:val="24"/>
        </w:rPr>
        <w:t>Marks Calculation</w:t>
      </w:r>
    </w:p>
    <w:p w14:paraId="5576C1AF" w14:textId="77777777" w:rsidR="008448B2" w:rsidRDefault="008448B2" w:rsidP="008448B2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7F1301D" w14:textId="77777777" w:rsidR="008448B2" w:rsidRDefault="008448B2" w:rsidP="008448B2">
      <w:pPr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For each exam written in class, grade boundaries are set to determine IB scores (a mark from 1 to 7).  These IB scores are then converted into percentages as follows:</w:t>
      </w:r>
    </w:p>
    <w:p w14:paraId="0ACFA4B3" w14:textId="77777777" w:rsidR="008448B2" w:rsidRDefault="008448B2" w:rsidP="008448B2">
      <w:pPr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5AEE2A89" w14:textId="77777777" w:rsidR="008448B2" w:rsidRDefault="008448B2" w:rsidP="008448B2">
      <w:pPr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7DE2BCDB" w14:textId="77777777" w:rsidR="008448B2" w:rsidRDefault="008448B2" w:rsidP="008448B2">
      <w:pPr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tbl>
      <w:tblPr>
        <w:tblStyle w:val="TableGrid"/>
        <w:tblW w:w="0" w:type="auto"/>
        <w:tblInd w:w="1988" w:type="dxa"/>
        <w:tblLook w:val="04A0" w:firstRow="1" w:lastRow="0" w:firstColumn="1" w:lastColumn="0" w:noHBand="0" w:noVBand="1"/>
      </w:tblPr>
      <w:tblGrid>
        <w:gridCol w:w="3380"/>
        <w:gridCol w:w="3380"/>
      </w:tblGrid>
      <w:tr w:rsidR="008448B2" w14:paraId="5C78C1EC" w14:textId="77777777" w:rsidTr="00991CD1">
        <w:trPr>
          <w:trHeight w:val="419"/>
        </w:trPr>
        <w:tc>
          <w:tcPr>
            <w:tcW w:w="3380" w:type="dxa"/>
          </w:tcPr>
          <w:p w14:paraId="7E741DC2" w14:textId="77777777" w:rsidR="008448B2" w:rsidRPr="003E07FD" w:rsidRDefault="008448B2" w:rsidP="00991CD1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  <w:r w:rsidRPr="003E07FD">
              <w:rPr>
                <w:rFonts w:ascii="Arial" w:hAnsi="Arial" w:cs="Arial"/>
                <w:b/>
                <w:color w:val="000000"/>
                <w:sz w:val="19"/>
                <w:szCs w:val="19"/>
              </w:rPr>
              <w:t>IB Score</w:t>
            </w:r>
          </w:p>
        </w:tc>
        <w:tc>
          <w:tcPr>
            <w:tcW w:w="3380" w:type="dxa"/>
          </w:tcPr>
          <w:p w14:paraId="47A69396" w14:textId="77777777" w:rsidR="008448B2" w:rsidRPr="003E07FD" w:rsidRDefault="008448B2" w:rsidP="00991CD1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  <w:r w:rsidRPr="003E07FD">
              <w:rPr>
                <w:rFonts w:ascii="Arial" w:hAnsi="Arial" w:cs="Arial"/>
                <w:b/>
                <w:color w:val="000000"/>
                <w:sz w:val="19"/>
                <w:szCs w:val="19"/>
              </w:rPr>
              <w:t>Percentage</w:t>
            </w:r>
          </w:p>
        </w:tc>
      </w:tr>
      <w:tr w:rsidR="008448B2" w14:paraId="7C2DDE1A" w14:textId="77777777" w:rsidTr="00991CD1">
        <w:trPr>
          <w:trHeight w:val="392"/>
        </w:trPr>
        <w:tc>
          <w:tcPr>
            <w:tcW w:w="3380" w:type="dxa"/>
          </w:tcPr>
          <w:p w14:paraId="1FB4722C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3380" w:type="dxa"/>
          </w:tcPr>
          <w:p w14:paraId="688CC9FD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0-49</w:t>
            </w:r>
          </w:p>
        </w:tc>
      </w:tr>
      <w:tr w:rsidR="008448B2" w14:paraId="2A205103" w14:textId="77777777" w:rsidTr="00991CD1">
        <w:trPr>
          <w:trHeight w:val="392"/>
        </w:trPr>
        <w:tc>
          <w:tcPr>
            <w:tcW w:w="3380" w:type="dxa"/>
          </w:tcPr>
          <w:p w14:paraId="06AE7A91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3380" w:type="dxa"/>
          </w:tcPr>
          <w:p w14:paraId="6EA0CE89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50-69</w:t>
            </w:r>
          </w:p>
        </w:tc>
      </w:tr>
      <w:tr w:rsidR="008448B2" w14:paraId="346F3A2B" w14:textId="77777777" w:rsidTr="00991CD1">
        <w:trPr>
          <w:trHeight w:val="392"/>
        </w:trPr>
        <w:tc>
          <w:tcPr>
            <w:tcW w:w="3380" w:type="dxa"/>
          </w:tcPr>
          <w:p w14:paraId="34D0A1A7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3380" w:type="dxa"/>
          </w:tcPr>
          <w:p w14:paraId="42D65B09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70-75</w:t>
            </w:r>
          </w:p>
        </w:tc>
      </w:tr>
      <w:tr w:rsidR="008448B2" w14:paraId="377A30A8" w14:textId="77777777" w:rsidTr="00991CD1">
        <w:trPr>
          <w:trHeight w:val="419"/>
        </w:trPr>
        <w:tc>
          <w:tcPr>
            <w:tcW w:w="3380" w:type="dxa"/>
          </w:tcPr>
          <w:p w14:paraId="2A174B8E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3380" w:type="dxa"/>
          </w:tcPr>
          <w:p w14:paraId="5ABA4872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76-85</w:t>
            </w:r>
          </w:p>
        </w:tc>
      </w:tr>
      <w:tr w:rsidR="008448B2" w14:paraId="625BAC9B" w14:textId="77777777" w:rsidTr="00991CD1">
        <w:trPr>
          <w:trHeight w:val="392"/>
        </w:trPr>
        <w:tc>
          <w:tcPr>
            <w:tcW w:w="3380" w:type="dxa"/>
          </w:tcPr>
          <w:p w14:paraId="65A95E71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3380" w:type="dxa"/>
          </w:tcPr>
          <w:p w14:paraId="2D9904D8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86-89</w:t>
            </w:r>
          </w:p>
        </w:tc>
      </w:tr>
      <w:tr w:rsidR="008448B2" w14:paraId="26E39208" w14:textId="77777777" w:rsidTr="00991CD1">
        <w:trPr>
          <w:trHeight w:val="392"/>
        </w:trPr>
        <w:tc>
          <w:tcPr>
            <w:tcW w:w="3380" w:type="dxa"/>
          </w:tcPr>
          <w:p w14:paraId="71F9A3DA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</w:t>
            </w:r>
          </w:p>
        </w:tc>
        <w:tc>
          <w:tcPr>
            <w:tcW w:w="3380" w:type="dxa"/>
          </w:tcPr>
          <w:p w14:paraId="110FD178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90-95</w:t>
            </w:r>
          </w:p>
        </w:tc>
      </w:tr>
      <w:tr w:rsidR="008448B2" w14:paraId="2B715CC8" w14:textId="77777777" w:rsidTr="00991CD1">
        <w:trPr>
          <w:trHeight w:val="419"/>
        </w:trPr>
        <w:tc>
          <w:tcPr>
            <w:tcW w:w="3380" w:type="dxa"/>
          </w:tcPr>
          <w:p w14:paraId="0366018B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3380" w:type="dxa"/>
          </w:tcPr>
          <w:p w14:paraId="7B55F3A8" w14:textId="77777777" w:rsidR="008448B2" w:rsidRDefault="008448B2" w:rsidP="00991CD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96-100</w:t>
            </w:r>
          </w:p>
        </w:tc>
      </w:tr>
    </w:tbl>
    <w:p w14:paraId="37013C19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57FA45E4" w14:textId="77777777" w:rsidR="001732E1" w:rsidRDefault="001732E1" w:rsidP="001732E1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Academic Integrity</w:t>
      </w:r>
    </w:p>
    <w:p w14:paraId="375832BD" w14:textId="77777777" w:rsidR="001732E1" w:rsidRDefault="001732E1" w:rsidP="001732E1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D9F609D" w14:textId="77777777" w:rsidR="001732E1" w:rsidRDefault="001732E1" w:rsidP="001732E1">
      <w:pPr>
        <w:spacing w:after="0" w:line="240" w:lineRule="auto"/>
        <w:rPr>
          <w:rFonts w:ascii="Arial" w:eastAsiaTheme="minorEastAsia" w:hAnsi="Arial" w:cs="Arial"/>
          <w:b/>
          <w:color w:val="000000"/>
          <w:sz w:val="24"/>
          <w:szCs w:val="24"/>
          <w:lang w:eastAsia="ko-KR"/>
        </w:rPr>
      </w:pPr>
      <w:r>
        <w:rPr>
          <w:rFonts w:ascii="Arial" w:hAnsi="Arial" w:cs="Arial"/>
          <w:color w:val="000000"/>
          <w:sz w:val="19"/>
          <w:szCs w:val="19"/>
        </w:rPr>
        <w:t xml:space="preserve">See school website for PMSS’s IB policies regarding Academic Integrity, Assessment, Language, Student/Parent Complaints and Inclusion: </w:t>
      </w:r>
      <w:hyperlink r:id="rId7" w:anchor="/=" w:history="1">
        <w:r w:rsidRPr="001A5967">
          <w:rPr>
            <w:rStyle w:val="Hyperlink"/>
            <w:rFonts w:ascii="Arial" w:hAnsi="Arial" w:cs="Arial"/>
            <w:sz w:val="19"/>
            <w:szCs w:val="19"/>
          </w:rPr>
          <w:t>https://www.sd43.bc.ca/school/portmoody/ProgramsServices/IB/PMSS_IB_Policies/Pages/default.aspx#/=</w:t>
        </w:r>
      </w:hyperlink>
      <w:r>
        <w:rPr>
          <w:rFonts w:ascii="Arial" w:hAnsi="Arial" w:cs="Arial"/>
          <w:color w:val="000000"/>
          <w:sz w:val="19"/>
          <w:szCs w:val="19"/>
        </w:rPr>
        <w:t xml:space="preserve"> </w:t>
      </w:r>
    </w:p>
    <w:p w14:paraId="72057F87" w14:textId="77777777" w:rsidR="001732E1" w:rsidRDefault="001732E1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456B63F2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 w:rsidRPr="0099362E">
        <w:rPr>
          <w:rFonts w:ascii="Arial" w:eastAsiaTheme="minorEastAsia" w:hAnsi="Arial" w:cs="Arial"/>
          <w:b/>
          <w:color w:val="000000"/>
          <w:sz w:val="24"/>
          <w:szCs w:val="24"/>
          <w:lang w:val="en-CA" w:eastAsia="ko-KR"/>
        </w:rPr>
        <w:t>Topics Covered</w:t>
      </w: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:</w:t>
      </w:r>
    </w:p>
    <w:p w14:paraId="2D25956D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15E22EDF" w14:textId="5CC4FAB6" w:rsidR="008448B2" w:rsidRDefault="00FD565F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>Review</w:t>
      </w:r>
      <w:r w:rsidR="00134C84"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 xml:space="preserve"> of Grade 11</w:t>
      </w:r>
      <w:r w:rsidR="008448B2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:</w:t>
      </w:r>
    </w:p>
    <w:p w14:paraId="212CE44D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5A437567" w14:textId="7920B9E0" w:rsidR="008448B2" w:rsidRDefault="008448B2" w:rsidP="00FD565F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</w:t>
      </w:r>
      <w:r w:rsidR="00FD565F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Functions</w:t>
      </w:r>
    </w:p>
    <w:p w14:paraId="7787B7BD" w14:textId="4180FF28" w:rsidR="00FD565F" w:rsidRDefault="00FD565F" w:rsidP="00FD565F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-Transformations</w:t>
      </w:r>
    </w:p>
    <w:p w14:paraId="0CC97AB3" w14:textId="720739D8" w:rsidR="00FD565F" w:rsidRDefault="00FD565F" w:rsidP="00FD565F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-Trigonometry</w:t>
      </w:r>
    </w:p>
    <w:p w14:paraId="68FBC65C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1DF59E60" w14:textId="59480F60" w:rsidR="008448B2" w:rsidRDefault="0070045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>Calculus</w:t>
      </w:r>
      <w:r w:rsidR="008448B2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:</w:t>
      </w:r>
    </w:p>
    <w:p w14:paraId="72C99260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2B1E2813" w14:textId="0FABA7FD" w:rsidR="008448B2" w:rsidRDefault="008448B2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</w:t>
      </w:r>
      <w:r w:rsidR="00700452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Limits</w:t>
      </w:r>
    </w:p>
    <w:p w14:paraId="47584730" w14:textId="19813D4E" w:rsidR="00700452" w:rsidRDefault="00700452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-Continuity</w:t>
      </w:r>
    </w:p>
    <w:p w14:paraId="0E199847" w14:textId="7C8FF90D" w:rsidR="00700452" w:rsidRDefault="00700452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-Differentiability</w:t>
      </w:r>
    </w:p>
    <w:p w14:paraId="3A5258A4" w14:textId="39DF5DF5" w:rsidR="00700452" w:rsidRDefault="00700452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</w:t>
      </w:r>
      <w:r w:rsidR="0031604D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Product and Quotient Rules</w:t>
      </w:r>
    </w:p>
    <w:p w14:paraId="715D170C" w14:textId="684BAC8C" w:rsidR="0031604D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-Chain Rule</w:t>
      </w:r>
    </w:p>
    <w:p w14:paraId="3A277078" w14:textId="59B4E271" w:rsidR="0031604D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-Implicit and Logarithmic Differentiation</w:t>
      </w:r>
    </w:p>
    <w:p w14:paraId="0B5FEE82" w14:textId="12DB9ED4" w:rsidR="0031604D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-Related Rates</w:t>
      </w:r>
    </w:p>
    <w:p w14:paraId="0E68F0A1" w14:textId="321FBDB0" w:rsidR="0031604D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-Curve Sketching</w:t>
      </w:r>
    </w:p>
    <w:p w14:paraId="06BCC5B5" w14:textId="6035476E" w:rsidR="0031604D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-Optimization</w:t>
      </w:r>
    </w:p>
    <w:p w14:paraId="4711F8F8" w14:textId="05E8B4E8" w:rsidR="00DD52DA" w:rsidRDefault="0031604D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</w:t>
      </w:r>
      <w:r w:rsidR="00DD52DA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Integration and techniques</w:t>
      </w:r>
    </w:p>
    <w:p w14:paraId="4B70E7BF" w14:textId="71FC2A7D" w:rsidR="00DD52DA" w:rsidRDefault="00DD52DA" w:rsidP="0070045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-Areas and Volumes</w:t>
      </w:r>
    </w:p>
    <w:p w14:paraId="3EF421CA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36C127C3" w14:textId="5910763C" w:rsidR="008448B2" w:rsidRDefault="00DD52DA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b/>
          <w:color w:val="000000"/>
          <w:sz w:val="19"/>
          <w:szCs w:val="19"/>
          <w:lang w:val="en-CA" w:eastAsia="ko-KR"/>
        </w:rPr>
        <w:t>Statistics:</w:t>
      </w:r>
    </w:p>
    <w:p w14:paraId="2B1F3477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0298A646" w14:textId="28BFA003" w:rsidR="008448B2" w:rsidRDefault="008448B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</w:t>
      </w:r>
      <w:r w:rsidR="002F48A2"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Frequency Tables and Histograms</w:t>
      </w:r>
    </w:p>
    <w:p w14:paraId="5A6A63C9" w14:textId="4A369EF0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-Measures of Central Tendency</w:t>
      </w:r>
    </w:p>
    <w:p w14:paraId="2C7C4A22" w14:textId="0A68237A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-Cumulative Frequency</w:t>
      </w:r>
    </w:p>
    <w:p w14:paraId="5825A65B" w14:textId="7528CEE3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-Measures of Dispersion</w:t>
      </w:r>
    </w:p>
    <w:p w14:paraId="3995E276" w14:textId="6A1100E3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-Discrete Probability Distributions</w:t>
      </w:r>
    </w:p>
    <w:p w14:paraId="083006F6" w14:textId="45B452F0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-Normal Distribution</w:t>
      </w:r>
    </w:p>
    <w:p w14:paraId="31DE981B" w14:textId="458CF5D2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-Bivariate Data</w:t>
      </w:r>
    </w:p>
    <w:p w14:paraId="4BBF421E" w14:textId="663793BE" w:rsidR="002F48A2" w:rsidRDefault="002F48A2" w:rsidP="002F48A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  <w:t>-Linear Regression</w:t>
      </w:r>
    </w:p>
    <w:p w14:paraId="352F6BF3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774D1CAC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6451E9B2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357F2B34" w14:textId="6C557832" w:rsidR="008448B2" w:rsidRDefault="0067512C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  <w:r>
        <w:rPr>
          <w:noProof/>
        </w:rPr>
        <w:drawing>
          <wp:inline distT="0" distB="0" distL="0" distR="0" wp14:anchorId="25F11492" wp14:editId="491F82C9">
            <wp:extent cx="6955155" cy="54222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55155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9460D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p w14:paraId="7AF14A98" w14:textId="77777777" w:rsidR="008448B2" w:rsidRDefault="008448B2" w:rsidP="008448B2">
      <w:pPr>
        <w:pStyle w:val="PlainText"/>
        <w:rPr>
          <w:rFonts w:ascii="Arial" w:eastAsiaTheme="minorEastAsia" w:hAnsi="Arial" w:cs="Arial"/>
          <w:color w:val="000000"/>
          <w:sz w:val="19"/>
          <w:szCs w:val="19"/>
          <w:lang w:val="en-CA" w:eastAsia="ko-KR"/>
        </w:rPr>
      </w:pPr>
    </w:p>
    <w:sectPr w:rsidR="008448B2" w:rsidSect="0085308F">
      <w:pgSz w:w="12240" w:h="15840"/>
      <w:pgMar w:top="567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D5F42"/>
    <w:multiLevelType w:val="multilevel"/>
    <w:tmpl w:val="6BBA3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299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7F"/>
    <w:rsid w:val="00095185"/>
    <w:rsid w:val="00134C84"/>
    <w:rsid w:val="001732E1"/>
    <w:rsid w:val="002F48A2"/>
    <w:rsid w:val="0030059E"/>
    <w:rsid w:val="0031604D"/>
    <w:rsid w:val="003A2F7F"/>
    <w:rsid w:val="003F2028"/>
    <w:rsid w:val="004767BE"/>
    <w:rsid w:val="005A730E"/>
    <w:rsid w:val="005F3691"/>
    <w:rsid w:val="00603533"/>
    <w:rsid w:val="006372C9"/>
    <w:rsid w:val="0067512C"/>
    <w:rsid w:val="006B3A38"/>
    <w:rsid w:val="00700452"/>
    <w:rsid w:val="008448B2"/>
    <w:rsid w:val="0096571F"/>
    <w:rsid w:val="00A25FCE"/>
    <w:rsid w:val="00A93ABF"/>
    <w:rsid w:val="00B908AA"/>
    <w:rsid w:val="00BA6849"/>
    <w:rsid w:val="00C31035"/>
    <w:rsid w:val="00DD52DA"/>
    <w:rsid w:val="00E1069D"/>
    <w:rsid w:val="00FD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3C86C"/>
  <w15:chartTrackingRefBased/>
  <w15:docId w15:val="{76573F7F-D6A4-45A6-BB93-6366CB88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8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48B2"/>
    <w:pPr>
      <w:spacing w:after="0" w:line="240" w:lineRule="auto"/>
    </w:pPr>
  </w:style>
  <w:style w:type="paragraph" w:styleId="PlainText">
    <w:name w:val="Plain Text"/>
    <w:basedOn w:val="Normal"/>
    <w:link w:val="PlainTextChar"/>
    <w:rsid w:val="008448B2"/>
    <w:pPr>
      <w:spacing w:after="0" w:line="240" w:lineRule="auto"/>
    </w:pPr>
    <w:rPr>
      <w:rFonts w:ascii="Courier New" w:eastAsia="SimSun" w:hAnsi="Courier New" w:cs="Courier New"/>
      <w:sz w:val="20"/>
      <w:szCs w:val="20"/>
      <w:lang w:val="en-US" w:eastAsia="zh-CN"/>
    </w:rPr>
  </w:style>
  <w:style w:type="character" w:customStyle="1" w:styleId="PlainTextChar">
    <w:name w:val="Plain Text Char"/>
    <w:basedOn w:val="DefaultParagraphFont"/>
    <w:link w:val="PlainText"/>
    <w:rsid w:val="008448B2"/>
    <w:rPr>
      <w:rFonts w:ascii="Courier New" w:eastAsia="SimSun" w:hAnsi="Courier New" w:cs="Courier New"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8448B2"/>
    <w:rPr>
      <w:color w:val="0563C1" w:themeColor="hyperlink"/>
      <w:u w:val="single"/>
    </w:rPr>
  </w:style>
  <w:style w:type="paragraph" w:customStyle="1" w:styleId="Default">
    <w:name w:val="Default"/>
    <w:rsid w:val="008448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ko-KR"/>
    </w:rPr>
  </w:style>
  <w:style w:type="table" w:styleId="TableGrid">
    <w:name w:val="Table Grid"/>
    <w:basedOn w:val="TableNormal"/>
    <w:uiPriority w:val="59"/>
    <w:rsid w:val="008448B2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Default"/>
    <w:next w:val="Default"/>
    <w:uiPriority w:val="99"/>
    <w:rsid w:val="008448B2"/>
    <w:pPr>
      <w:spacing w:line="381" w:lineRule="atLeast"/>
    </w:pPr>
    <w:rPr>
      <w:rFonts w:ascii="Myriad Pro" w:hAnsi="Myriad Pro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8448B2"/>
    <w:pPr>
      <w:spacing w:line="281" w:lineRule="atLeast"/>
    </w:pPr>
    <w:rPr>
      <w:rFonts w:ascii="Myriad Pro" w:hAnsi="Myriad Pro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8448B2"/>
    <w:pPr>
      <w:spacing w:line="191" w:lineRule="atLeast"/>
    </w:pPr>
    <w:rPr>
      <w:rFonts w:ascii="Myriad Pro" w:hAnsi="Myriad Pro" w:cstheme="minorBidi"/>
      <w:color w:val="auto"/>
    </w:rPr>
  </w:style>
  <w:style w:type="character" w:customStyle="1" w:styleId="A6">
    <w:name w:val="A6"/>
    <w:uiPriority w:val="99"/>
    <w:rsid w:val="008448B2"/>
    <w:rPr>
      <w:rFonts w:cs="Myriad Pro"/>
      <w:b/>
      <w:bCs/>
      <w:color w:val="00000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A93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d43.bc.ca/school/portmoody/ProgramsServices/IB/PMSS_IB_Policies/Pages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linyk@sd43.bc.c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1354</Words>
  <Characters>7719</Characters>
  <Application>Microsoft Office Word</Application>
  <DocSecurity>0</DocSecurity>
  <Lines>64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Wong</dc:creator>
  <cp:keywords/>
  <dc:description/>
  <cp:lastModifiedBy>Olinyk, Tyler</cp:lastModifiedBy>
  <cp:revision>22</cp:revision>
  <cp:lastPrinted>2023-09-01T17:14:00Z</cp:lastPrinted>
  <dcterms:created xsi:type="dcterms:W3CDTF">2020-09-08T18:56:00Z</dcterms:created>
  <dcterms:modified xsi:type="dcterms:W3CDTF">2026-09-08T21:00:00Z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96a5d-77da-4993-b431-64db1bc697e2_Enabled">
    <vt:lpwstr>true</vt:lpwstr>
  </property>
  <property fmtid="{D5CDD505-2E9C-101B-9397-08002B2CF9AE}" pid="3" name="MSIP_Label_67f96a5d-77da-4993-b431-64db1bc697e2_SetDate">
    <vt:lpwstr>2025-12-02T19:23:26Z</vt:lpwstr>
  </property>
  <property fmtid="{D5CDD505-2E9C-101B-9397-08002B2CF9AE}" pid="4" name="MSIP_Label_67f96a5d-77da-4993-b431-64db1bc697e2_Method">
    <vt:lpwstr>Standard</vt:lpwstr>
  </property>
  <property fmtid="{D5CDD505-2E9C-101B-9397-08002B2CF9AE}" pid="5" name="MSIP_Label_67f96a5d-77da-4993-b431-64db1bc697e2_Name">
    <vt:lpwstr>Sensitive - Internal Only</vt:lpwstr>
  </property>
  <property fmtid="{D5CDD505-2E9C-101B-9397-08002B2CF9AE}" pid="6" name="MSIP_Label_67f96a5d-77da-4993-b431-64db1bc697e2_SiteId">
    <vt:lpwstr>d9658cef-0292-4252-9925-6442de24a44b</vt:lpwstr>
  </property>
  <property fmtid="{D5CDD505-2E9C-101B-9397-08002B2CF9AE}" pid="7" name="MSIP_Label_67f96a5d-77da-4993-b431-64db1bc697e2_ActionId">
    <vt:lpwstr>8e666cb1-8327-4c0f-b929-af2fe837a0d7</vt:lpwstr>
  </property>
  <property fmtid="{D5CDD505-2E9C-101B-9397-08002B2CF9AE}" pid="8" name="MSIP_Label_67f96a5d-77da-4993-b431-64db1bc697e2_ContentBits">
    <vt:lpwstr>0</vt:lpwstr>
  </property>
  <property fmtid="{D5CDD505-2E9C-101B-9397-08002B2CF9AE}" pid="9" name="MSIP_Label_67f96a5d-77da-4993-b431-64db1bc697e2_Tag">
    <vt:lpwstr>10, 3, 0, 1</vt:lpwstr>
  </property>
</Properties>
</file>